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9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детский сад «Солнышко».</w:t>
      </w:r>
    </w:p>
    <w:p w14:paraId="30213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ПОТОКОЛ № 1  СЕМИНАРА</w:t>
      </w:r>
    </w:p>
    <w:p w14:paraId="58E0B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БАЗОВОЙ ОПОРНОЙ ПЛОЩАДКИ</w:t>
      </w:r>
    </w:p>
    <w:p w14:paraId="7A3432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«Использование дидактических пособий в процесс приобщения дошкольников к труду».</w:t>
      </w:r>
    </w:p>
    <w:p w14:paraId="59980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14.11.2024 г.</w:t>
      </w:r>
    </w:p>
    <w:p w14:paraId="1DB750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воспитатели района в количестве 20 человек</w:t>
      </w:r>
    </w:p>
    <w:p w14:paraId="7C51F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педагогическая мастерская</w:t>
      </w:r>
    </w:p>
    <w:p w14:paraId="4C5A4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мероприятия: распространение актуального педагогического опыта по вопросам повышения качества воспитательно образовательной деятельности.</w:t>
      </w:r>
    </w:p>
    <w:p w14:paraId="60AE6C04">
      <w:pPr>
        <w:rPr>
          <w:rFonts w:ascii="Times New Roman" w:hAnsi="Times New Roman"/>
          <w:sz w:val="28"/>
          <w:szCs w:val="28"/>
        </w:rPr>
      </w:pPr>
    </w:p>
    <w:p w14:paraId="3A4F0DB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 мероприятия: </w:t>
      </w:r>
    </w:p>
    <w:p w14:paraId="46B74D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единую информационно – образовательную среду как важнейшего условия и средства формирования новой системы образования.</w:t>
      </w:r>
    </w:p>
    <w:p w14:paraId="5379F1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Повышать педагогическую компетентность, поисковую и исследовательскую экспериментальную работу.</w:t>
      </w:r>
    </w:p>
    <w:p w14:paraId="4FE982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Освоение приемов эффективной педагогической поддержки в процессе общения с детьми.</w:t>
      </w:r>
    </w:p>
    <w:p w14:paraId="527E51A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проведения :</w:t>
      </w:r>
    </w:p>
    <w:p w14:paraId="39EA6CF7">
      <w:pPr>
        <w:pStyle w:val="2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участников семинара – В.И. Промахина старший воспитатель МДОАУ д/с «Солнышко», методист УО по дошкольному образованию РМК Сычева Ю.А.;</w:t>
      </w:r>
    </w:p>
    <w:p w14:paraId="12B088A0">
      <w:pPr>
        <w:pStyle w:val="2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темы семинара:  </w:t>
      </w:r>
    </w:p>
    <w:p w14:paraId="466A764A">
      <w:pPr>
        <w:pStyle w:val="2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Никитина О.Н. воспитатель МДОБУ д/с «Светлячок» тема «Технологические карты    сюжетно-ролевых игр для детей старшего дошкольного возраста по ознакомлению с трудом взрослых»; </w:t>
      </w:r>
    </w:p>
    <w:p w14:paraId="1138E048">
      <w:pPr>
        <w:pStyle w:val="2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Якшимбетова О.Д., воспитатель МДОБУ д/с «Буратино» тема «Дидактические игры по трудовому воспитанию»;</w:t>
      </w:r>
    </w:p>
    <w:p w14:paraId="29CFB71E">
      <w:pPr>
        <w:pStyle w:val="2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Промахина В.И. старший воспитатель МДОАУ д/с «Солнышко» тема «Графические модели трудового процесса».</w:t>
      </w:r>
    </w:p>
    <w:p w14:paraId="1CD3D5B7">
      <w:pPr>
        <w:pStyle w:val="2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Подведение итогов. </w:t>
      </w:r>
    </w:p>
    <w:p w14:paraId="18C11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2E58EB1A">
      <w:pPr>
        <w:pStyle w:val="2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выступили  Промахина В.И. и Сычева Ю.А. они поприветствовали участников мероприятия. </w:t>
      </w:r>
    </w:p>
    <w:p w14:paraId="0C6765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Промахина  В.И ознакомила участников с темой, целью, задачами мероприятия  базовой площадки. </w:t>
      </w:r>
    </w:p>
    <w:p w14:paraId="198A25F6">
      <w:pPr>
        <w:pStyle w:val="2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второму вопросу:</w:t>
      </w:r>
    </w:p>
    <w:p w14:paraId="0FFCDBB9">
      <w:pPr>
        <w:pStyle w:val="25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 Никитина О.Н. воспитатель МДОБУ д/с «Светлячок»  предоставила свой опыт работы по теме «Технологические карты сюжетно – ролевых игр для детей старшего дошкольного возраста по ознакомлению с трудом взрослых»</w:t>
      </w:r>
    </w:p>
    <w:p w14:paraId="40DCC5C6">
      <w:pPr>
        <w:pStyle w:val="25"/>
        <w:ind w:left="0" w:firstLine="708"/>
        <w:jc w:val="both"/>
        <w:rPr>
          <w:rStyle w:val="3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>Игровые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интерес к сюжетно – ролевым играм;  </w:t>
      </w:r>
      <w:r>
        <w:rPr>
          <w:rStyle w:val="31"/>
          <w:rFonts w:ascii="Times New Roman" w:hAnsi="Times New Roman" w:cs="Times New Roman"/>
          <w:sz w:val="28"/>
          <w:szCs w:val="28"/>
        </w:rPr>
        <w:t>продолжать учить детей планированию игры и самостоятельному подбору игрового материала, необходимых атрибутов; продолжать обучение умениям ролевого взаимодействия, в соответствии с нормами этикета; учить детей брать на себя различные роли (почтальона, оператора-приемщика, сортировщика, водителя, начальника почты), в соответствии с сюжетом игры; развивать диалогическую речь детей; способствовать установлению в игре ролевых взаимодействий и взаимоотношений между играющими; формировать творческую активность в игре, дружеские взаимоотношения друг с другом.</w:t>
      </w:r>
    </w:p>
    <w:p w14:paraId="6BE50F91">
      <w:pPr>
        <w:pStyle w:val="25"/>
        <w:ind w:left="0" w:firstLine="708"/>
        <w:jc w:val="both"/>
        <w:rPr>
          <w:rStyle w:val="31"/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>Показала  видео-ролик занятия сюжетно-ролевой игры «Почта».</w:t>
      </w:r>
    </w:p>
    <w:p w14:paraId="400420B1">
      <w:pPr>
        <w:pStyle w:val="25"/>
        <w:ind w:left="0" w:firstLine="708"/>
        <w:jc w:val="both"/>
        <w:rPr>
          <w:rStyle w:val="31"/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>На практическом применении: предложила гостям самостоятельно попробовать составить технологическую карту на любую профессию. Команда 1 составила карту «Аптека», Команда 2 «Кондуктор на пассажирском автотранспорте». Обе команды с интересом выполняли задания и справились с ним.</w:t>
      </w:r>
    </w:p>
    <w:p w14:paraId="38B7F21B">
      <w:pPr>
        <w:pStyle w:val="3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rStyle w:val="31"/>
          <w:sz w:val="28"/>
          <w:szCs w:val="28"/>
        </w:rPr>
        <w:t>-</w:t>
      </w:r>
      <w:r>
        <w:rPr>
          <w:rStyle w:val="31"/>
          <w:b/>
          <w:bCs/>
          <w:sz w:val="28"/>
          <w:szCs w:val="28"/>
        </w:rPr>
        <w:t xml:space="preserve">  Якшимбетова О.Д. воспитатель МДОБУ д/с «Буратино» </w:t>
      </w:r>
      <w:r>
        <w:rPr>
          <w:b/>
          <w:bCs/>
          <w:sz w:val="28"/>
          <w:szCs w:val="28"/>
        </w:rPr>
        <w:t xml:space="preserve"> представила опыт работы по теме «Дидактические игры по трудовому воспитанию».</w:t>
      </w:r>
    </w:p>
    <w:p w14:paraId="64CD6A45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color w:val="212529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Трудовое воспитание детей в дошкольном образовательном учреждении (ДОУ) имеет важное значение для формирования у них трудовых навыков и понимания ценности труда. В этом процессе особую роль играют дидактические игры, которые, будучи увлекательными, позволяют обучать детей различным аспектам трудовой деятельности. В данной статье мы рассмотрим примеры дидактических игр, направленных на трудовое воспитание, их особенности и значимость. Дидактические игры можно разделить на несколько категорий, каждая из которых направлена на развитие определенных трудовых навыков. Рассмотрим более подробно несколько примеров игр, которые можно использовать в рамках трудового воспитания в ДОУ. Был продемонстрирован видео - ролик игры с детьми «Строитель», «Ромашка». Выполнен проект «Карта п. Светлый» своими руками, с использованием дидактических материалов (фигурки профессий, объектов и субъектов поселка). Очень кропотливая работа, заинтересовала всех педагогов. Раздали подарки воспитателям: Дидактические игры «Профессии».</w:t>
      </w:r>
    </w:p>
    <w:p w14:paraId="1CBBC574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ab/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 xml:space="preserve">- </w:t>
      </w:r>
      <w:r>
        <w:rPr>
          <w:rFonts w:eastAsia="sans-serif" w:cs="Times New Roman"/>
          <w:b/>
          <w:bCs/>
          <w:color w:val="212529"/>
          <w:sz w:val="28"/>
          <w:szCs w:val="28"/>
          <w:shd w:val="clear" w:color="auto" w:fill="FFFFFF"/>
        </w:rPr>
        <w:t>Старший воспитатель и воспитатель  МДОАУ д/с «Солнышко» Промахина В.И. и Заярнюк Т.В. предоставили свои опыты работы по теме «Графические модели трудового процесса».</w:t>
      </w:r>
    </w:p>
    <w:p w14:paraId="55482C97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color w:val="212529"/>
          <w:sz w:val="28"/>
          <w:szCs w:val="28"/>
          <w:shd w:val="clear" w:color="auto" w:fill="FFFFFF"/>
        </w:rPr>
      </w:pP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ab/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Овладение навыками трудовой деятельности надо рассматривать как одно из основных условий воспитания у детей желания и умения трудиться. Как бы ни был ребенок заинтересован целью труда, не владея трудовыми навыками, он никогда не</w:t>
      </w:r>
      <w:r>
        <w:rPr>
          <w:rFonts w:eastAsia="sans-serif" w:cs="Times New Roman"/>
          <w:color w:val="242424"/>
          <w:sz w:val="28"/>
          <w:szCs w:val="28"/>
          <w:shd w:val="clear" w:color="auto" w:fill="FAFCFF"/>
        </w:rPr>
        <w:t xml:space="preserve"> 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достигнет результата. Сформированные трудовые умения и навыки служат основой для воспитания у детей серьезного отношения к труду, привычки к трудовому усилию, желание трудиться, включаться в труд по собственному желанию, успешно его завершать.</w:t>
      </w:r>
      <w:r>
        <w:rPr>
          <w:rFonts w:hint="default" w:eastAsia="sans-serif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eastAsia="sans-serif" w:cs="Times New Roman"/>
          <w:color w:val="212529"/>
          <w:sz w:val="28"/>
          <w:szCs w:val="28"/>
          <w:shd w:val="clear" w:color="auto" w:fill="FFFFFF"/>
          <w:lang w:val="ru-RU"/>
        </w:rPr>
        <w:tab/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 xml:space="preserve">Виды труда: труд по самообслуживанию, труд в природе, ознакомление с трудом взрослых, хозяйственно-бытовой труд (совместная работа взрослого и ребенка), ручной труд, подробно остановились на </w:t>
      </w:r>
      <w:r>
        <w:rPr>
          <w:rFonts w:eastAsia="sans-serif" w:cs="Times New Roman"/>
          <w:b/>
          <w:color w:val="212529"/>
          <w:sz w:val="28"/>
          <w:szCs w:val="28"/>
          <w:shd w:val="clear" w:color="auto" w:fill="FFFFFF"/>
        </w:rPr>
        <w:t>ознакомлении с трудом взрослых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. Заярнюк Т.В. рассказала о графических моделях профессий, какие бывают профессии. Подробно рассказала об Открытом показе «Профессиональный труд с использованием графических моделей трудового процесса».</w:t>
      </w:r>
      <w:r>
        <w:rPr>
          <w:rFonts w:hint="default" w:eastAsia="sans-serif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Промахина В.И. провела мастер-класс по созданию букета по графической модели. «Букет для мамы».</w:t>
      </w:r>
    </w:p>
    <w:p w14:paraId="0E4CC507">
      <w:pPr>
        <w:pStyle w:val="22"/>
        <w:numPr>
          <w:ilvl w:val="0"/>
          <w:numId w:val="2"/>
        </w:numPr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b/>
          <w:bCs/>
          <w:color w:val="242424"/>
          <w:sz w:val="28"/>
          <w:szCs w:val="28"/>
          <w:shd w:val="clear" w:color="auto" w:fill="FAFCFF"/>
        </w:rPr>
      </w:pPr>
      <w:r>
        <w:rPr>
          <w:rFonts w:eastAsia="sans-serif" w:cs="Times New Roman"/>
          <w:b/>
          <w:bCs/>
          <w:color w:val="242424"/>
          <w:sz w:val="28"/>
          <w:szCs w:val="28"/>
          <w:shd w:val="clear" w:color="auto" w:fill="FAFCFF"/>
        </w:rPr>
        <w:t xml:space="preserve">Рефлексия. Подведение итогов. </w:t>
      </w:r>
    </w:p>
    <w:p w14:paraId="4C68DEEC">
      <w:pPr>
        <w:pStyle w:val="22"/>
        <w:shd w:val="clear" w:color="auto" w:fill="FFFFFF" w:themeFill="background1"/>
        <w:spacing w:beforeAutospacing="0" w:line="300" w:lineRule="atLeast"/>
        <w:ind w:firstLine="708"/>
        <w:jc w:val="both"/>
        <w:rPr>
          <w:rFonts w:eastAsia="sans-serif" w:cs="Times New Roman"/>
          <w:color w:val="212529"/>
          <w:sz w:val="28"/>
          <w:szCs w:val="28"/>
          <w:shd w:val="clear" w:color="auto" w:fill="FFFFFF"/>
        </w:rPr>
      </w:pP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Использование моделирования последовательности трудовых процессов «открывает» новые педагогические возможности:</w:t>
      </w:r>
    </w:p>
    <w:p w14:paraId="5FCD8E25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color w:val="212529"/>
          <w:sz w:val="28"/>
          <w:szCs w:val="28"/>
          <w:shd w:val="clear" w:color="auto" w:fill="FFFFFF"/>
        </w:rPr>
      </w:pPr>
      <w:r>
        <w:rPr>
          <w:rFonts w:eastAsia="sans-serif" w:cs="Times New Roman"/>
          <w:color w:val="242424"/>
          <w:sz w:val="28"/>
          <w:szCs w:val="28"/>
          <w:shd w:val="clear" w:color="auto" w:fill="FAFCFF"/>
        </w:rPr>
        <w:t>-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Развивает самостоятельность ребенка, творчество и проявление его индивидуальности;</w:t>
      </w:r>
    </w:p>
    <w:p w14:paraId="2347F194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color w:val="242424"/>
          <w:sz w:val="28"/>
          <w:szCs w:val="28"/>
          <w:shd w:val="clear" w:color="auto" w:fill="FAFCFF"/>
        </w:rPr>
      </w:pPr>
      <w:r>
        <w:rPr>
          <w:rFonts w:eastAsia="sans-serif" w:cs="Times New Roman"/>
          <w:color w:val="242424"/>
          <w:sz w:val="28"/>
          <w:szCs w:val="28"/>
          <w:shd w:val="clear" w:color="auto" w:fill="FAFCFF"/>
        </w:rPr>
        <w:t>-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Повышает интерес детей, акцентирует внимание малыша на значимость полученного результата.</w:t>
      </w:r>
    </w:p>
    <w:p w14:paraId="58DC8686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color w:val="212529"/>
          <w:sz w:val="28"/>
          <w:szCs w:val="28"/>
          <w:shd w:val="clear" w:color="auto" w:fill="FFFFFF"/>
        </w:rPr>
      </w:pPr>
      <w:r>
        <w:rPr>
          <w:rFonts w:eastAsia="sans-serif" w:cs="Times New Roman"/>
          <w:color w:val="242424"/>
          <w:sz w:val="28"/>
          <w:szCs w:val="28"/>
          <w:shd w:val="clear" w:color="auto" w:fill="FAFCFF"/>
        </w:rPr>
        <w:t>-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Дети начинают испытывать положительные эмоций от труда.</w:t>
      </w:r>
    </w:p>
    <w:p w14:paraId="7CD38707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color w:val="242424"/>
          <w:sz w:val="28"/>
          <w:szCs w:val="28"/>
          <w:shd w:val="clear" w:color="auto" w:fill="FAFCFF"/>
        </w:rPr>
      </w:pPr>
      <w:r>
        <w:rPr>
          <w:rFonts w:eastAsia="sans-serif" w:cs="Times New Roman"/>
          <w:color w:val="242424"/>
          <w:sz w:val="28"/>
          <w:szCs w:val="28"/>
          <w:shd w:val="clear" w:color="auto" w:fill="FAFCFF"/>
        </w:rPr>
        <w:t>-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Индивидуализация образовательного процесса (оказание помощи детям, которые испытывают затруднения);</w:t>
      </w:r>
    </w:p>
    <w:p w14:paraId="7AABCE26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eastAsia="sans-serif" w:cs="Times New Roman"/>
          <w:color w:val="212529"/>
          <w:sz w:val="28"/>
          <w:szCs w:val="28"/>
          <w:shd w:val="clear" w:color="auto" w:fill="FFFFFF"/>
        </w:rPr>
      </w:pPr>
      <w:r>
        <w:rPr>
          <w:rFonts w:eastAsia="sans-serif" w:cs="Times New Roman"/>
          <w:color w:val="242424"/>
          <w:sz w:val="28"/>
          <w:szCs w:val="28"/>
          <w:shd w:val="clear" w:color="auto" w:fill="FAFCFF"/>
        </w:rPr>
        <w:t>-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Предоставить возможность детям работать в удобном им темпе;</w:t>
      </w:r>
    </w:p>
    <w:p w14:paraId="6D17DEA4">
      <w:pPr>
        <w:pStyle w:val="22"/>
        <w:shd w:val="clear" w:color="auto" w:fill="FFFFFF" w:themeFill="background1"/>
        <w:spacing w:beforeAutospacing="0" w:line="300" w:lineRule="atLeast"/>
        <w:jc w:val="both"/>
        <w:rPr>
          <w:rFonts w:hint="default" w:eastAsia="sans-serif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- Предоставление возможности ребенку проявлять творческую инициативу в самостоятельной</w:t>
      </w:r>
      <w:r>
        <w:rPr>
          <w:rFonts w:hint="default" w:eastAsia="sans-serif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деятельности, т.е. самостоятельно развиваться.</w:t>
      </w:r>
      <w:r>
        <w:rPr>
          <w:rFonts w:hint="default" w:eastAsia="sans-serif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14:paraId="64ADED8D">
      <w:pPr>
        <w:pStyle w:val="22"/>
        <w:shd w:val="clear" w:color="auto" w:fill="FFFFFF" w:themeFill="background1"/>
        <w:spacing w:beforeAutospacing="0" w:line="300" w:lineRule="atLeast"/>
        <w:ind w:firstLine="708" w:firstLineChars="0"/>
        <w:jc w:val="both"/>
        <w:rPr>
          <w:rFonts w:hint="default" w:cs="Times New Roman"/>
          <w:color w:val="212529"/>
          <w:sz w:val="28"/>
          <w:szCs w:val="28"/>
          <w:lang w:val="ru-RU"/>
        </w:rPr>
      </w:pPr>
      <w:r>
        <w:rPr>
          <w:rFonts w:eastAsia="sans-serif" w:cs="Times New Roman"/>
          <w:color w:val="212529"/>
          <w:sz w:val="28"/>
          <w:szCs w:val="28"/>
          <w:shd w:val="clear" w:color="auto" w:fill="FFFFFF"/>
        </w:rPr>
        <w:t>В заключении</w:t>
      </w:r>
      <w:r>
        <w:rPr>
          <w:rFonts w:cs="Times New Roman"/>
          <w:color w:val="212529"/>
          <w:sz w:val="28"/>
          <w:szCs w:val="28"/>
          <w:highlight w:val="white"/>
        </w:rPr>
        <w:t xml:space="preserve">, выступила Сычева Ю.А. Отметила интересный предоставленный опыт работы  педагогов, практические занятия. Указала на недочеты, </w:t>
      </w:r>
      <w:r>
        <w:rPr>
          <w:rFonts w:cs="Times New Roman"/>
          <w:color w:val="212529"/>
          <w:sz w:val="28"/>
          <w:szCs w:val="28"/>
        </w:rPr>
        <w:t>совместно с педагогическими работниками обсудили предоставленные опыты работы.</w:t>
      </w:r>
      <w:r>
        <w:rPr>
          <w:rFonts w:hint="default" w:cs="Times New Roman"/>
          <w:color w:val="212529"/>
          <w:sz w:val="28"/>
          <w:szCs w:val="28"/>
          <w:lang w:val="ru-RU"/>
        </w:rPr>
        <w:t xml:space="preserve"> </w:t>
      </w:r>
    </w:p>
    <w:p w14:paraId="1B17992D">
      <w:pPr>
        <w:pStyle w:val="22"/>
        <w:shd w:val="clear" w:color="auto" w:fill="FFFFFF" w:themeFill="background1"/>
        <w:spacing w:beforeAutospacing="0" w:line="300" w:lineRule="atLeast"/>
        <w:ind w:firstLine="708" w:firstLineChars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cs="Times New Roman"/>
          <w:color w:val="212529"/>
          <w:sz w:val="28"/>
          <w:szCs w:val="28"/>
        </w:rPr>
        <w:t>В завершении семинара, Промахина В.И. педагогическим работникам, предоставлявшим свой опыт работы вручила сертификаты участников: Якшимбетовой О.Д,  Никитиной О.Н., Заярнюк Т.В.</w:t>
      </w:r>
      <w:bookmarkStart w:id="0" w:name="_GoBack"/>
      <w:bookmarkEnd w:id="0"/>
    </w:p>
    <w:sectPr>
      <w:pgSz w:w="12240" w:h="15840"/>
      <w:pgMar w:top="1134" w:right="850" w:bottom="626" w:left="38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82E82"/>
    <w:rsid w:val="00172C6B"/>
    <w:rsid w:val="002B1182"/>
    <w:rsid w:val="003561FB"/>
    <w:rsid w:val="00440427"/>
    <w:rsid w:val="004468ED"/>
    <w:rsid w:val="009E1857"/>
    <w:rsid w:val="00AD3F36"/>
    <w:rsid w:val="00D82E82"/>
    <w:rsid w:val="00E57830"/>
    <w:rsid w:val="00E810D1"/>
    <w:rsid w:val="05D53063"/>
    <w:rsid w:val="14E51FD5"/>
    <w:rsid w:val="36C93145"/>
    <w:rsid w:val="40E81A6E"/>
    <w:rsid w:val="5D97533F"/>
    <w:rsid w:val="647C6573"/>
    <w:rsid w:val="6EC72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0"/>
      <w:sz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120" w:after="120"/>
      <w:jc w:val="both"/>
      <w:outlineLvl w:val="0"/>
    </w:pPr>
    <w:rPr>
      <w:rFonts w:ascii="XO Thames" w:hAnsi="XO Thames" w:eastAsiaTheme="minorEastAsia" w:cstheme="minorBidi"/>
      <w:b/>
      <w:color w:val="000000"/>
      <w:sz w:val="32"/>
      <w:lang w:val="ru-RU" w:eastAsia="ru-RU" w:bidi="ar-SA"/>
    </w:rPr>
  </w:style>
  <w:style w:type="paragraph" w:styleId="3">
    <w:name w:val="heading 2"/>
    <w:next w:val="1"/>
    <w:qFormat/>
    <w:uiPriority w:val="9"/>
    <w:pPr>
      <w:spacing w:beforeAutospacing="1" w:afterAutospacing="1"/>
      <w:outlineLvl w:val="1"/>
    </w:pPr>
    <w:rPr>
      <w:rFonts w:ascii="SimSun" w:hAnsi="SimSun" w:eastAsiaTheme="minorEastAsia" w:cstheme="minorBidi"/>
      <w:b/>
      <w:i/>
      <w:color w:val="000000"/>
      <w:sz w:val="36"/>
      <w:lang w:val="ru-RU" w:eastAsia="ru-RU" w:bidi="ar-SA"/>
    </w:rPr>
  </w:style>
  <w:style w:type="paragraph" w:styleId="4">
    <w:name w:val="heading 3"/>
    <w:next w:val="1"/>
    <w:qFormat/>
    <w:uiPriority w:val="9"/>
    <w:pPr>
      <w:spacing w:beforeAutospacing="1" w:afterAutospacing="1"/>
      <w:outlineLvl w:val="2"/>
    </w:pPr>
    <w:rPr>
      <w:rFonts w:ascii="SimSun" w:hAnsi="SimSun" w:eastAsiaTheme="minorEastAsia" w:cstheme="minorBidi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pacing w:before="120" w:after="120"/>
      <w:jc w:val="both"/>
      <w:outlineLvl w:val="3"/>
    </w:pPr>
    <w:rPr>
      <w:rFonts w:ascii="XO Thames" w:hAnsi="XO Thames" w:eastAsiaTheme="minorEastAsia" w:cstheme="minorBidi"/>
      <w:b/>
      <w:color w:val="000000"/>
      <w:sz w:val="24"/>
      <w:lang w:val="ru-RU" w:eastAsia="ru-RU" w:bidi="ar-SA"/>
    </w:rPr>
  </w:style>
  <w:style w:type="paragraph" w:styleId="6">
    <w:name w:val="heading 5"/>
    <w:next w:val="1"/>
    <w:qFormat/>
    <w:uiPriority w:val="9"/>
    <w:pPr>
      <w:spacing w:before="120" w:after="120"/>
      <w:jc w:val="both"/>
      <w:outlineLvl w:val="4"/>
    </w:pPr>
    <w:rPr>
      <w:rFonts w:ascii="XO Thames" w:hAnsi="XO Thames" w:eastAsiaTheme="minorEastAsia" w:cstheme="minorBidi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ind w:left="1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2">
    <w:name w:val="toc 9"/>
    <w:next w:val="1"/>
    <w:qFormat/>
    <w:uiPriority w:val="39"/>
    <w:pPr>
      <w:ind w:left="1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3">
    <w:name w:val="toc 7"/>
    <w:next w:val="1"/>
    <w:qFormat/>
    <w:uiPriority w:val="39"/>
    <w:pPr>
      <w:ind w:left="1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4">
    <w:name w:val="Body Text"/>
    <w:basedOn w:val="1"/>
    <w:qFormat/>
    <w:uiPriority w:val="0"/>
    <w:pPr>
      <w:widowControl w:val="0"/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15">
    <w:name w:val="toc 1"/>
    <w:next w:val="1"/>
    <w:qFormat/>
    <w:uiPriority w:val="39"/>
    <w:rPr>
      <w:rFonts w:ascii="XO Thames" w:hAnsi="XO Thames" w:eastAsiaTheme="minorEastAsia" w:cstheme="minorBidi"/>
      <w:b/>
      <w:color w:val="000000"/>
      <w:sz w:val="28"/>
      <w:lang w:val="ru-RU" w:eastAsia="ru-RU" w:bidi="ar-SA"/>
    </w:rPr>
  </w:style>
  <w:style w:type="paragraph" w:styleId="16">
    <w:name w:val="toc 6"/>
    <w:next w:val="1"/>
    <w:qFormat/>
    <w:uiPriority w:val="39"/>
    <w:pPr>
      <w:ind w:left="10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7">
    <w:name w:val="toc 3"/>
    <w:next w:val="1"/>
    <w:qFormat/>
    <w:uiPriority w:val="39"/>
    <w:pPr>
      <w:ind w:left="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8">
    <w:name w:val="toc 2"/>
    <w:next w:val="1"/>
    <w:qFormat/>
    <w:uiPriority w:val="39"/>
    <w:pPr>
      <w:ind w:left="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9">
    <w:name w:val="toc 4"/>
    <w:next w:val="1"/>
    <w:qFormat/>
    <w:uiPriority w:val="39"/>
    <w:pPr>
      <w:ind w:left="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0">
    <w:name w:val="toc 5"/>
    <w:next w:val="1"/>
    <w:qFormat/>
    <w:uiPriority w:val="39"/>
    <w:pPr>
      <w:ind w:left="8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1">
    <w:name w:val="Title"/>
    <w:next w:val="1"/>
    <w:qFormat/>
    <w:uiPriority w:val="10"/>
    <w:pPr>
      <w:spacing w:before="567" w:after="567"/>
      <w:jc w:val="center"/>
    </w:pPr>
    <w:rPr>
      <w:rFonts w:ascii="XO Thames" w:hAnsi="XO Thames" w:eastAsiaTheme="minorEastAsia" w:cstheme="minorBidi"/>
      <w:b/>
      <w:caps/>
      <w:color w:val="000000"/>
      <w:sz w:val="40"/>
      <w:lang w:val="ru-RU" w:eastAsia="ru-RU" w:bidi="ar-SA"/>
    </w:rPr>
  </w:style>
  <w:style w:type="paragraph" w:styleId="22">
    <w:name w:val="Normal (Web)"/>
    <w:qFormat/>
    <w:uiPriority w:val="0"/>
    <w:pPr>
      <w:spacing w:beforeAutospacing="1" w:afterAutospacing="1"/>
    </w:pPr>
    <w:rPr>
      <w:rFonts w:ascii="Times New Roman" w:hAnsi="Times New Roman" w:eastAsiaTheme="minorEastAsia" w:cstheme="minorBidi"/>
      <w:color w:val="000000"/>
      <w:sz w:val="24"/>
      <w:lang w:val="ru-RU" w:eastAsia="ru-RU" w:bidi="ar-SA"/>
    </w:rPr>
  </w:style>
  <w:style w:type="paragraph" w:styleId="23">
    <w:name w:val="Subtitle"/>
    <w:next w:val="1"/>
    <w:qFormat/>
    <w:uiPriority w:val="11"/>
    <w:pPr>
      <w:jc w:val="both"/>
    </w:pPr>
    <w:rPr>
      <w:rFonts w:ascii="XO Thames" w:hAnsi="XO Thames" w:eastAsiaTheme="minorEastAsia" w:cstheme="minorBidi"/>
      <w:i/>
      <w:color w:val="000000"/>
      <w:sz w:val="24"/>
      <w:lang w:val="ru-RU" w:eastAsia="ru-RU" w:bidi="ar-SA"/>
    </w:rPr>
  </w:style>
  <w:style w:type="paragraph" w:styleId="24">
    <w:name w:val="No Spacing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List Paragraph"/>
    <w:basedOn w:val="1"/>
    <w:qFormat/>
    <w:uiPriority w:val="0"/>
    <w:pPr>
      <w:ind w:left="720"/>
      <w:contextualSpacing/>
    </w:pPr>
  </w:style>
  <w:style w:type="paragraph" w:customStyle="1" w:styleId="26">
    <w:name w:val="Footnote"/>
    <w:link w:val="27"/>
    <w:qFormat/>
    <w:uiPriority w:val="0"/>
    <w:pPr>
      <w:ind w:firstLine="851"/>
      <w:jc w:val="both"/>
    </w:pPr>
    <w:rPr>
      <w:rFonts w:ascii="XO Thames" w:hAnsi="XO Thames" w:eastAsiaTheme="minorEastAsia" w:cstheme="minorBidi"/>
      <w:color w:val="000000"/>
      <w:sz w:val="22"/>
      <w:lang w:val="ru-RU" w:eastAsia="ru-RU" w:bidi="ar-SA"/>
    </w:rPr>
  </w:style>
  <w:style w:type="character" w:customStyle="1" w:styleId="27">
    <w:name w:val="Foot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Header and Footer"/>
    <w:link w:val="29"/>
    <w:qFormat/>
    <w:uiPriority w:val="0"/>
    <w:pPr>
      <w:jc w:val="both"/>
    </w:pPr>
    <w:rPr>
      <w:rFonts w:ascii="XO Thames" w:hAnsi="XO Thames" w:eastAsiaTheme="minorEastAsia" w:cstheme="minorBidi"/>
      <w:color w:val="000000"/>
      <w:lang w:val="ru-RU" w:eastAsia="ru-RU" w:bidi="ar-SA"/>
    </w:rPr>
  </w:style>
  <w:style w:type="character" w:customStyle="1" w:styleId="29">
    <w:name w:val="Header and Footer1"/>
    <w:link w:val="28"/>
    <w:qFormat/>
    <w:uiPriority w:val="0"/>
    <w:rPr>
      <w:rFonts w:ascii="XO Thames" w:hAnsi="XO Thames"/>
      <w:sz w:val="20"/>
    </w:rPr>
  </w:style>
  <w:style w:type="paragraph" w:customStyle="1" w:styleId="30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c5"/>
    <w:basedOn w:val="7"/>
    <w:uiPriority w:val="0"/>
  </w:style>
  <w:style w:type="character" w:customStyle="1" w:styleId="3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5316</Characters>
  <Lines>44</Lines>
  <Paragraphs>12</Paragraphs>
  <TotalTime>28</TotalTime>
  <ScaleCrop>false</ScaleCrop>
  <LinksUpToDate>false</LinksUpToDate>
  <CharactersWithSpaces>6236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2024-06-26T06:06:00Z</dcterms:created>
  <dc:creator>solny</dc:creator>
  <cp:lastModifiedBy>solny</cp:lastModifiedBy>
  <cp:lastPrinted>2024-11-19T03:39:11Z</cp:lastPrinted>
  <dcterms:modified xsi:type="dcterms:W3CDTF">2024-11-19T03:39:17Z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CEEC2D5AEBD247D59C813350B996EE54_12</vt:lpwstr>
  </property>
</Properties>
</file>